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8" w:type="dxa"/>
        <w:tblInd w:w="93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2"/>
        <w:gridCol w:w="222"/>
        <w:gridCol w:w="1365"/>
        <w:gridCol w:w="2729"/>
      </w:tblGrid>
      <w:tr w:rsidR="00762109">
        <w:trPr>
          <w:trHeight w:val="270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ПОЯСНИТЕЛЬНАЯ ЗАПИСКА</w:t>
            </w:r>
          </w:p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 БАЛАНСУ УЧРЕЖДЕНИЯ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272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</w:tr>
      <w:tr w:rsidR="00762109">
        <w:trPr>
          <w:trHeight w:val="255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2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КОДЫ</w:t>
            </w:r>
          </w:p>
        </w:tc>
      </w:tr>
      <w:tr w:rsidR="00762109">
        <w:trPr>
          <w:trHeight w:val="210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0"/>
              </w:rPr>
            </w:pPr>
          </w:p>
        </w:tc>
        <w:tc>
          <w:tcPr>
            <w:tcW w:w="1587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по ОКУД</w:t>
            </w:r>
          </w:p>
        </w:tc>
        <w:tc>
          <w:tcPr>
            <w:tcW w:w="2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0503760</w:t>
            </w:r>
          </w:p>
        </w:tc>
      </w:tr>
      <w:tr w:rsidR="00762109">
        <w:trPr>
          <w:trHeight w:val="320"/>
        </w:trPr>
        <w:tc>
          <w:tcPr>
            <w:tcW w:w="5624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                         на   1 января 2026 г.</w:t>
            </w: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Дата</w:t>
            </w:r>
          </w:p>
        </w:tc>
        <w:tc>
          <w:tcPr>
            <w:tcW w:w="27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01.01.2026</w:t>
            </w:r>
          </w:p>
        </w:tc>
      </w:tr>
      <w:tr w:rsidR="00762109">
        <w:trPr>
          <w:trHeight w:val="282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Учреждение  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ГОСУДАРСТВЕННОЕ АВТОНОМНОЕ УЧРЕЖДЕНИЕ НОВОСИБИРСКОЙ ОБЛАСТИ "ЦЕНТР РАЗВИТИЯ СОЦИАЛЬНОЙ СФЕРЫ"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ОКПО  </w:t>
            </w:r>
          </w:p>
        </w:tc>
        <w:tc>
          <w:tcPr>
            <w:tcW w:w="2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88819759</w:t>
            </w:r>
          </w:p>
        </w:tc>
      </w:tr>
      <w:tr w:rsidR="00762109">
        <w:trPr>
          <w:trHeight w:val="195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Обособленное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подразделение  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Министерство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 труда и социального развития Новосибирской области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0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0"/>
              </w:rPr>
            </w:pPr>
          </w:p>
        </w:tc>
        <w:tc>
          <w:tcPr>
            <w:tcW w:w="2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0"/>
              </w:rPr>
            </w:pPr>
          </w:p>
        </w:tc>
      </w:tr>
      <w:tr w:rsidR="00762109">
        <w:trPr>
          <w:trHeight w:val="420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Учредитель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ОКТМО </w:t>
            </w:r>
          </w:p>
        </w:tc>
        <w:tc>
          <w:tcPr>
            <w:tcW w:w="2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50000000</w:t>
            </w:r>
          </w:p>
        </w:tc>
      </w:tr>
      <w:tr w:rsidR="00762109">
        <w:trPr>
          <w:trHeight w:val="195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Наименование органа, 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0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7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0"/>
              </w:rPr>
            </w:pPr>
          </w:p>
        </w:tc>
      </w:tr>
      <w:tr w:rsidR="00762109">
        <w:trPr>
          <w:trHeight w:val="210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spacing w:line="195" w:lineRule="atLeas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осуществляющего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0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spacing w:line="195" w:lineRule="atLeast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ОКПО </w:t>
            </w:r>
          </w:p>
        </w:tc>
        <w:tc>
          <w:tcPr>
            <w:tcW w:w="2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88819759</w:t>
            </w:r>
          </w:p>
        </w:tc>
      </w:tr>
      <w:tr w:rsidR="00762109">
        <w:trPr>
          <w:trHeight w:val="320"/>
        </w:trPr>
        <w:tc>
          <w:tcPr>
            <w:tcW w:w="56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полномочия учредителя   </w:t>
            </w: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Глава по БК </w:t>
            </w:r>
          </w:p>
        </w:tc>
        <w:tc>
          <w:tcPr>
            <w:tcW w:w="27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023</w:t>
            </w:r>
          </w:p>
        </w:tc>
      </w:tr>
      <w:tr w:rsidR="00762109">
        <w:trPr>
          <w:trHeight w:val="282"/>
        </w:trPr>
        <w:tc>
          <w:tcPr>
            <w:tcW w:w="5624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Периодичность:   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квартальная, годовая</w:t>
            </w: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62109">
        <w:trPr>
          <w:trHeight w:val="320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 Балансу по форме </w:t>
            </w:r>
          </w:p>
        </w:tc>
        <w:tc>
          <w:tcPr>
            <w:tcW w:w="27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0503730</w:t>
            </w:r>
          </w:p>
        </w:tc>
      </w:tr>
      <w:tr w:rsidR="00762109">
        <w:trPr>
          <w:trHeight w:val="282"/>
        </w:trPr>
        <w:tc>
          <w:tcPr>
            <w:tcW w:w="540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 измерения: руб.</w:t>
            </w:r>
          </w:p>
        </w:tc>
        <w:tc>
          <w:tcPr>
            <w:tcW w:w="2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13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spacing w:before="240" w:beforeAutospacing="1" w:after="240" w:afterAutospacing="1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   по ОКЕИ</w:t>
            </w:r>
          </w:p>
        </w:tc>
        <w:tc>
          <w:tcPr>
            <w:tcW w:w="27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383</w:t>
            </w:r>
          </w:p>
        </w:tc>
      </w:tr>
      <w:tr w:rsidR="00762109">
        <w:trPr>
          <w:trHeight w:val="282"/>
        </w:trPr>
        <w:tc>
          <w:tcPr>
            <w:tcW w:w="9718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</w:tr>
    </w:tbl>
    <w:p w:rsidR="00762109" w:rsidRDefault="00000EDB">
      <w:pPr>
        <w:spacing w:before="240" w:after="24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1. Организационная структура учреждения.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Официальное полное наименование Учреждения: Государственное автономное учреждение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Новосибирской области «Центр развития социальной сферы» (далее Учреждение).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Сокращенное наименование: ГАУ НСО «Центр развития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соцсферы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ИНН 5405387891, КПП 540501001, ОГРН 1095405004551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ОКВЭД 96.09: предоставление прочих персональных услуг, не включенных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другие группировки.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Учреждение является некоммерческой организацией, созданной для выполнения работ и оказания услуг в целях обеспечения реализации полномочий органов субъекта федерации в сфере занятости, предусмотренных законодательством Российской Феде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рации.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Учредителем и собственником имущества является субъект Российской Федерации - Новосибирская область.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 Полномочия учредителя осуществляет министерство труда и социального развития Новосибирской области. 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Обособленных подразделений Учреждение не имее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Органами управления Учреждения являются наблюдательный совет, руководитель Учреждения, а также общее собрание работников Учреждения.</w:t>
      </w:r>
    </w:p>
    <w:p w:rsidR="00762109" w:rsidRDefault="00000EDB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отчетном году создан новый состав наблюдательного совета, утвержденный распоряжением Правительства Новосибирской обла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 от 04.02.2025 г. № 30-рп.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Председатель: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Гриднева Галина Борисовна – председатель Общественной палаты Новосибирской области;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Члены наблюдательного совета: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Жданова Инна Валерьевна – заместитель директора по стратегическому развитию Института социальных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ехнологий федерального государственного бюджетного образовательного учреждения высшего образования «Новосибирский государственный технический университет», доцент кафедры социальной работы, преподаватель отделения социальной педагогики;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Лаврова Ольга Игоре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вна – начальник управления занятости населения министерства труда и социального развития Новосибирской области;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Седышева Наталья Сергеевна – ведущий эксперт отдела реализации проектов и программ в сфере патриотического воспитания граждан федерального госуд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арственного бюджетного учреждения «Российский детско-юношеский центр»;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Савенкова Наталья Борисовна – консультант отдела земельных отношений департамента имущества и земельных отношений Новосибирской области;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Чернов Денис Владимирович – специалист управлени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молодежной политики Сибирского института управления - филиала федерального государственного бюджетного образовательного учреждения высшего образования «Российская академия народного хозяйства и государственной службы при Президенте Российской Федерации»;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Полякова Наталья Александровна – старший методист отдела развития компетенций руководителей и специалистов социальной сферы ГАУ НСО "Центр развития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соцсферы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</w:p>
    <w:p w:rsidR="00762109" w:rsidRDefault="00000EDB">
      <w:pPr>
        <w:ind w:firstLine="70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Реутова Надежда Ивановна – начальник отдела развития клиентских сервисов и продуктов ГАУ НСО «Цен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 развития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соцсферы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Основные виды деятельности Учреждения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762109" w:rsidRDefault="00000EDB">
      <w:pPr>
        <w:spacing w:before="24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1) методическое сопровождение работы государственных учреждений, подведомственных министерству труда и социального развития Новосибирской области (далее – учреждения социальной сферы),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повышения квалификации работников учреждений социальной сферы;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организация и проведение мероприятий по развитию личностных и профессиональных качеств работников учреждений социальной сферы, в том числе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клиентоцентричного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подхода к оказанию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осударственных услуг;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3) организационное сопровождение формирования резерва управленческих кадров учреждений социальной сферы;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4) разработка информационных и методических материалов, образовательных программ для проведения методических семинаров, тренингов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дополнительных профессиональных программ повышения квалификации;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оценка профессиональной компетентности работников учреждений социальной сферы: разработка программ (моделей) профессионального развития на основе анализа деловых, профессиональных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личностных компетенций человека, его способностей и мотивации;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6) оказание психологической поддержки получателям услуг и сотрудникам учреждений социальной сферы в рамках направления деятельности учреждения;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7) организация и проведение мероприятий по направ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лениям деятельности учреждений;</w:t>
      </w:r>
    </w:p>
    <w:p w:rsidR="00762109" w:rsidRDefault="00000EDB">
      <w:pPr>
        <w:spacing w:after="24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8) консультирование граждан по вопросам профессиональной ориентации с целью оказания помощи в выборе сферы деятельности (профессии), планировании, формировании или коррекции профессионального пути с учетом индивидуальных осо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бенностей, интересов и склонностей;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9) оказание гражданам помощи в социальной адаптации на рынке труда, формировании навыков, необходимых для успешного трудоустройства, освоении технологий поиска работы, адаптации в коллективе;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10) проведение социологическ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и психологических исследований для формирования научно-методической базы Учреждения;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11) содействие в разработке и реализации программ и проектов, направленных на улучшение качества предоставления услуг в социальной сфере;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12) организация профессиональн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консультаций областных исполнительных органов государственной власти по вопросам обеспечения квалифицированными кадрами учреждений социальной сферы;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13) осуществление информационно-просветительской деятельности в целях привлечения в Новосибирскую област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трудовых ресурсов.</w:t>
      </w:r>
    </w:p>
    <w:p w:rsidR="00762109" w:rsidRDefault="00000EDB">
      <w:pPr>
        <w:spacing w:before="240" w:after="24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Пояснительная записка составлена в соответствии с Приказом Минфина РФ от 25.09.2011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жетных и автономных учреждений».</w:t>
      </w:r>
    </w:p>
    <w:p w:rsidR="00762109" w:rsidRDefault="00000EDB">
      <w:pPr>
        <w:spacing w:before="240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Представленные показатели бухгалтерской отчетности сформированы согласно требованиям Федеральных государственных стандартов "Концептуальные основы бухгалтерского учета и отчетности организаций государственного сектора" (</w:t>
      </w:r>
      <w:hyperlink r:id="rId4">
        <w:r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Приказ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Минфина России от 31.12.2016 N 256н), "Представление бухгалтерской (финансовой) отчетности" (</w:t>
      </w:r>
      <w:hyperlink r:id="rId5">
        <w:r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Приказ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Минфина России от 31.12.16 N 260н) и других нормативных правовых актов, регулирующих ведение бухгалтерского учета и сос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тавление бухгалтерской (финансовой) отчетности.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Раздел 2. Результаты деятельности учреждения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уставной деятельности Учреждения в отчетном периоде осуществлялось по следующим источникам:</w:t>
      </w:r>
    </w:p>
    <w:p w:rsidR="00762109" w:rsidRDefault="00000EDB">
      <w:pPr>
        <w:ind w:left="14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 w:rsidR="00417AD1"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17A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субсидия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возмещение затрат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выполнение государственного задания, предоставленная учредителем из бюджета Новосибирской области;</w:t>
      </w:r>
    </w:p>
    <w:p w:rsidR="00762109" w:rsidRDefault="00000EDB">
      <w:pPr>
        <w:ind w:left="14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z w:val="20"/>
          <w:szCs w:val="20"/>
        </w:rPr>
        <w:t></w:t>
      </w:r>
      <w:r w:rsidR="00417AD1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417AD1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417AD1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417AD1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417AD1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в виде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собственных доходов от деятельности, приносящей доход.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Инвестиционную и финансовую деятельность Учреждение не осуществляло.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Государственное задание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выполнено полностью в соответствии с целевыми показателями, установленными учредителем.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Кадровое обеспечение Государственного автономного учреждения Новосибирской области «Центр развития социальной сферы» в 2025 году:</w:t>
      </w:r>
    </w:p>
    <w:p w:rsidR="00762109" w:rsidRDefault="00000EDB">
      <w:pPr>
        <w:spacing w:before="24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"/>
        <w:gridCol w:w="5552"/>
        <w:gridCol w:w="1235"/>
        <w:gridCol w:w="1605"/>
      </w:tblGrid>
      <w:tr w:rsidR="00762109">
        <w:tc>
          <w:tcPr>
            <w:tcW w:w="9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555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vAlign w:val="center"/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 показате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ля</w:t>
            </w:r>
          </w:p>
        </w:tc>
        <w:tc>
          <w:tcPr>
            <w:tcW w:w="28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Значение показателя</w:t>
            </w:r>
          </w:p>
        </w:tc>
      </w:tr>
      <w:tr w:rsidR="00762109">
        <w:tc>
          <w:tcPr>
            <w:tcW w:w="9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762109"/>
        </w:tc>
        <w:tc>
          <w:tcPr>
            <w:tcW w:w="555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vAlign w:val="center"/>
            <w:hideMark/>
          </w:tcPr>
          <w:p w:rsidR="00762109" w:rsidRDefault="00000EDB">
            <w:r>
              <w:t xml:space="preserve">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2024 год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2025 год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Всего единиц по штатному расписанию (ед.)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19,5</w:t>
            </w:r>
          </w:p>
        </w:tc>
      </w:tr>
      <w:tr w:rsidR="00762109" w:rsidTr="00000EDB">
        <w:tc>
          <w:tcPr>
            <w:tcW w:w="94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том числе единиц работников, осуществляющих основную деятельность (без МОП) по штатному расписанию (ед.)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15,5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14,5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Среднесписочная численность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работников за отчетный период (всего чел.)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13.2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Внешних совместителей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Фактическая численность работников по состоянию на 01 января года, следующего за отчетным (чел.)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7. 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 должностях руководителей (чел.);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 должностях специалистов (чел.);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прочих работников (обслуживающий персонал) (чел.)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Средний возраст работников, осуществляющих основную деятельность (без МОП), по состоянию на 01 января года, следующего за отчетным (полных лет)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Численность и доля работников, осуществляющих основную деятельность (без МОП), имеющих высшее образование (чел./%) по состоянию на 01 января года, следующего за отчетным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13/100%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13/93%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Численность и доля работников, осуществляющих основную дея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тельность (без МОП), обучающихся по программам высшего профессионального образования (чел./%) по состоянию на 01 января года, следующего за отчетным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0/0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1/7%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Численность и доля работников, осуществляющих основную деятельность (без МОП), повысивших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квалификацию в течение отчетного периода (чел./%)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0/0%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6/43%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Всего уволено работников по разным причинам за отчетный период (чел.), в том числе: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 должности руководителей, в том числе по инициативе работодателя (чел./чел.);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должностей специалистов, в том числе по инициативе работодателя (чел./чел.);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 должностей прочих работников (обсл.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персонал), в том числе по инициативе работодателя (чел./чел.)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62109" w:rsidTr="00000EDB">
        <w:tc>
          <w:tcPr>
            <w:tcW w:w="94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18.</w:t>
            </w:r>
          </w:p>
        </w:tc>
        <w:tc>
          <w:tcPr>
            <w:tcW w:w="555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Принято работников за отчетный период (чел.), в том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числе: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 должности руководителей (чел.);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 должности специалистов (чел.);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762109"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21.</w:t>
            </w:r>
          </w:p>
        </w:tc>
        <w:tc>
          <w:tcPr>
            <w:tcW w:w="5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 должности прочих работников (обслуживающий персонал), (чел.)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0" w:type="dxa"/>
              <w:bottom w:w="15" w:type="dxa"/>
              <w:right w:w="100" w:type="dxa"/>
            </w:tcMar>
            <w:hideMark/>
          </w:tcPr>
          <w:p w:rsidR="00762109" w:rsidRDefault="00000ED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762109" w:rsidRDefault="00000EDB">
      <w:pPr>
        <w:spacing w:before="240" w:after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 В целях эффективного расходования денежных средств и во исполнение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Федерального закона «О закупках товаров, работ, услуг отдельными видами юридических лиц» от 18.07.2011 г. № 223-ФЗ в отчетном периоде было заключено договоров на сумму 4 765 106,40 рублей, в том числе путем проведения: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запроса котировок в электронной фор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ме, участниками которых могут быть только субъекты малого и среднего предпринимательства – 14 закупок на общую сумму 1 771 639,4 руб. (37,2%);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 в электронной форме – 2 закупки на сумму 1 298 247,71 руб. (27,2 %)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 у единственного поставщи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(естественные монополии) на сумму 541 586,57 руб. (11,3%);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прямые договоры – 1 153 632,72 руб. (24,3%)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применения конкурентных способов закупки экономия денежных средств составила 192 830,1 руб.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2025 году было направлено 67 400,0 руб. на повышение квалификации работников Учреждения.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Повысили свою квалификацию по различным программам 9 человек.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Кроме того, повышение квалификации специалистов проходило на организованных учреждением методических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семинарах, посещении открытых мероприятий, в том числе отраслевых и профильных конференций и форумов.</w:t>
      </w:r>
    </w:p>
    <w:p w:rsidR="00762109" w:rsidRDefault="00000EDB">
      <w:pPr>
        <w:spacing w:before="24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Обеспеченность Учреждения основными фондами.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На 01.01.2026 г. на балансе учреждения числятся основные средства общей балансовой стоимостью 10 719 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24,2 руб., в том числе:</w:t>
      </w:r>
    </w:p>
    <w:p w:rsidR="00762109" w:rsidRDefault="00000EDB">
      <w:pPr>
        <w:ind w:left="78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недвижимое имущество (помещение площадью 393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кв.м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на праве оперативного управления) - 4 624 038,00 руб.;</w:t>
      </w:r>
    </w:p>
    <w:p w:rsidR="00762109" w:rsidRDefault="00000EDB">
      <w:pPr>
        <w:ind w:left="78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особо ценное движимое имущество - 1 253 072,03 руб.;</w:t>
      </w:r>
    </w:p>
    <w:p w:rsidR="00762109" w:rsidRDefault="00000EDB">
      <w:pPr>
        <w:ind w:left="78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иное движимое имущество – 4 842 814,17 руб.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Балансовая стоимость 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шин и оборудования составляет 3 791 774,21 руб., в том числе – компьютерная техника – 1 958 810,0 руб. (60 ед.). 22 компьютера введены в эксплуатацию в 2018 году, 9 ноутбуков приобретены в 2020 году, остальная компьютерная техника введена в эксплуатацию 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2013 года.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2025 году приобретено основных средств на сумму 1 453 217,0 руб., в том числе:</w:t>
      </w:r>
    </w:p>
    <w:p w:rsidR="00762109" w:rsidRDefault="00000EDB">
      <w:pPr>
        <w:spacing w:after="240"/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счет средств учредителя – 1 265 061,0 руб. 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 счет собственных доходов – 188 156,0 руб. </w:t>
      </w:r>
    </w:p>
    <w:p w:rsidR="00762109" w:rsidRDefault="00000EDB">
      <w:pPr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Списано основных средств, пришедших в негодность – 256 071,06 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</w:t>
      </w:r>
    </w:p>
    <w:p w:rsidR="00762109" w:rsidRDefault="00000EDB">
      <w:pPr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Переданы основные средства другим учреждениям, подведомственным министерству труда и социального развития Новосибирской области – 69 731,04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Техническое состояние основных средств удовлетворительное и пригодное для эксплуатации. Учреждение основными фон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дами обеспечено по потребности.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мере выхода из строя основные средства своевременно направляются в организации для проведения диагностики и ремонта. По мере износа производится замена.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мероприятия по улучшению состояния и сохранности основных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редств осуществляются в виде периодического обхода ответственного работника.  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поддержания бесперебойной работы и безопасности ИТ-систем Учреждением заключен договор по техническому обслуживанию компьютерной техники, оргтехники и системному администрир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ованию.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 2025 году затраты составили 384 700,0 руб.  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соблюдения требований законодательства в области пожарной безопасности в Учреждении были проведены следующие виды работ: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обслуживание систем пожарной сигнализации на сумму 15 600,0 руб.;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зарядка огнетушителей на сумму 5 105,0 руб.;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 рамках информационного обеспечения в соответствии с планом финансово-хозяйственной деятельности Учреждением заключены договоры по следующим направлениям:</w:t>
      </w:r>
    </w:p>
    <w:p w:rsidR="00762109" w:rsidRDefault="00000EDB">
      <w:pPr>
        <w:ind w:left="8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предоставление услуг связи и доступа к интернету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114 934,18 руб.;</w:t>
      </w:r>
    </w:p>
    <w:p w:rsidR="00762109" w:rsidRDefault="00000EDB">
      <w:pPr>
        <w:ind w:left="8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сопровождение информационных программ (Консультант плюс) – 191 428,0 руб.;</w:t>
      </w:r>
    </w:p>
    <w:p w:rsidR="00762109" w:rsidRDefault="00000EDB">
      <w:pPr>
        <w:ind w:left="8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сопровождение бухгалтерских программ – 81 504,0 руб.;</w:t>
      </w:r>
    </w:p>
    <w:p w:rsidR="00762109" w:rsidRDefault="00000EDB">
      <w:pPr>
        <w:ind w:left="84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неисключительные права использования программ с использованием средств криптозащиты – 17 306,0 руб.;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Для соблюдения требований санитарного законодательства Учреждением в течение отчетного периода были приобретены СИЗ на сумму 6 100,0 руб.</w:t>
      </w:r>
    </w:p>
    <w:p w:rsidR="00762109" w:rsidRDefault="00000EDB">
      <w:pPr>
        <w:spacing w:before="240" w:after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 Раздел 3. Анализ отчета об исполнении учреждением плана его деятельности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Финансово-хозяйственная деятельность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чреждения в 2025 году осуществлялась в соответствии с утвержденным планом финансово-хозяйственной деятельности.</w:t>
      </w:r>
    </w:p>
    <w:p w:rsidR="00762109" w:rsidRDefault="00000EDB">
      <w:pPr>
        <w:spacing w:before="240"/>
        <w:ind w:firstLine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Объем субсидии на выполнение государственного (муниципального) задания из областного бюджета на 2025 год определен в соответствии с нормати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вами финансовых затрат и объемом предоставляемых государственных услуг в сфере содействия занятости населения и социального обеспечения на 2025-2027 годы и составил 24 993 500,0 руб. Субсидия за отчетный период поступила в полном объеме в соответствии с 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афиком и полностью израсходована. Расходы осуществлялись в соответствии с утвержденными плановыми показателями.</w:t>
      </w:r>
    </w:p>
    <w:p w:rsidR="00762109" w:rsidRDefault="00000EDB">
      <w:pPr>
        <w:spacing w:before="240"/>
        <w:ind w:firstLine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От деятельности, приносящей доход, за 2025 г.  получено 2 481 775,60 руб., в том числе доходы от штрафных санкций – 24 527,64 руб.  </w:t>
      </w:r>
    </w:p>
    <w:p w:rsidR="00762109" w:rsidRDefault="00000EDB">
      <w:pPr>
        <w:ind w:firstLine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Израсх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одовано за отчетный период 2 112 418,78 руб. Расходы осуществлялись в соответствии с плановыми показателями. </w:t>
      </w:r>
    </w:p>
    <w:p w:rsidR="00762109" w:rsidRDefault="00000EDB">
      <w:pPr>
        <w:ind w:firstLine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Остаток денежных средств на лицевом счете на 01.01.2025 г. составил 1 090 262,26 руб., в кассе – 0,0 руб. Сведения об остатке денежных средств отр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ажены в приложении (ф.0503779) к Пояснительной записке.</w:t>
      </w:r>
    </w:p>
    <w:p w:rsidR="00762109" w:rsidRDefault="00000EDB">
      <w:pPr>
        <w:ind w:firstLine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Исполнение Учреждением плана его финансово-хозяйственной деятельности в разрезе источников финансирования отражено в форме 0503737.</w:t>
      </w:r>
    </w:p>
    <w:p w:rsidR="00762109" w:rsidRDefault="00000EDB">
      <w:pPr>
        <w:spacing w:before="240"/>
        <w:ind w:firstLine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За 2025 год начислен налог в связи с применением упрощенной сис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темы налогообложения в сумме 76 114,75 руб. С учетом перечисления авансовых платежей в течение отчетного года, кредиторская задолженность на 01.01.2026 г. по деятельности, приносящей доход, составила 55 794,75 руб. Срок уплаты – до 01.04.2026 г.</w:t>
      </w:r>
    </w:p>
    <w:p w:rsidR="00762109" w:rsidRDefault="00000EDB">
      <w:pPr>
        <w:spacing w:before="240" w:after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Раздел 4.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Анализ показателей отчетности учреждения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События после отчетной даты до представления бухгалтерской отчетности за 2025 год не возникли.</w:t>
      </w:r>
    </w:p>
    <w:p w:rsidR="00762109" w:rsidRDefault="00000EDB">
      <w:pPr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Бухгалтерская отчетность на 1 января 2026 года сформирована Учреждением в соответствии с инструкцией о порядке составле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ния, предоставления годовой, квартальной бухгалтерской отчетности, утвержденной приказом Минфина РФ от 25.03.2011 г. № 33н и представлена в виде:</w:t>
      </w:r>
    </w:p>
    <w:p w:rsidR="00762109" w:rsidRDefault="00000EDB">
      <w:pPr>
        <w:spacing w:before="240"/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Справка по заключению учреждением счетов бухгалтерского учета отчетного финансового года (ф.0503710);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о финансовых результатах деятельности учреждения (ф.0503721)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Баланс государственного учреждения (ф.0503730);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 об исполнении учреждением плана его финансово-хозяйственной деятельности (ф.0503737);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 об обязательствах учреждения (ф.0503738);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Пояснительная записка (ф.0503760);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об исполнении плана финансово-хозяйственной деятельности (ф.0503766);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 движении нефинансовых активов учреждения (ф.0503768);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по дебиторской и кредиторской задолженности (ф.0503769);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едения о принятых и неисполненных обязательствах (ф.0503775);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об остатках денежных средств учреждения (ф.0503779);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 о движении денежных средств учреждения (ф.0503723);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Справочная таблица об исполнении бюджета главного распорядителя сред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 областного бюджета (ф.0503387)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балансе Учреждения на 01.01.2026 г. числится на учете имущество в составе основных средств (стр.010) на сумму 10 719 924,21 руб.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Остаточная стоимость составляет 3 893 312,82 руб.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строке 100 на начало года отражена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остаточная стоимость права пользования на программное обеспечение и базы данных в сумме 279 447,0 руб.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строке 207 отражены почтовые марки в сумме 2 096,50 руб.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01.01.2026 г. числится дебиторская задолженность по доходам (гр.10, стр.250) в сумме 69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40 400,0 руб. – это предоставление субсидии на финансовое обеспечение выполнения государственного задания на 2025-2027 годы в соответствии с Соглашением № 906 от 29.12.2025 г., в том числе долгосрочная – 46 093 600,0 руб.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01.01.2026 г. числится дебиторс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кая задолженность по выплатам в сумме 54 541,49 руб., подтвержденная дебиторами (гр. 10, стр.260). Это выданные авансы контрагентам, по пролонгированным на 2026 год договорам.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них: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 субсидии на финансовое обеспечение выполнения государственного зад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 выданы авансы на сумму 48 762,87 руб. (гр.8, стр.260):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ОАО «Ростелеком» - 10 473 67 руб.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ОАО «Новосибирскэнерго» - 15 624,76 руб.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Акционерное общество «Сибирская энергетическая компания» - 12 338,63 руб.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МУП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Горводоканал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 - 3 823,19 руб.;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Почта России» - 6 502,62 руб.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 деятельности, приносящей доход выданы авансы на сумму 5 778,62 руб. (гр.9, стр.260):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ПАО «МТС», мобильная связь - 3 948,0 руб.;</w:t>
      </w:r>
    </w:p>
    <w:p w:rsidR="00762109" w:rsidRDefault="00000EDB">
      <w:pPr>
        <w:ind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ПАО «Ростелеком», мобильная связь- 1 832,62 руб.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строке 160 отражены расходы будущих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периодов в сумме 160 478,75 руб. Это приобретение неисключительных прав использования программных продуктов, срок полезного использования которых составляет не более 12 месяцев, но переходит на 2026 год.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строке 420, гр.9 отражена кредиторская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задолженность по деятельности, приносящей доход, в сумме 55 794,75 руб. - обязательство по уплате налога в связи с применением упрощенной системы налогообложения за 2025 год (срок уплаты –01.04.2026г.).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Кредиторская задолженность по деятельности, связанной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выполнением государственного задания, на 01.01.2026 г. отсутствует.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по дебиторской и кредиторской задолженности отражены в приложении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(ф.0503769) к Пояснительной записке.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Показатель расчетов с учредителем (стр.480) на 01.01.2026 г. уменьшился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16 390,0 руб. по отношению к показателю на начало года за счет того, что произошло списание ОЦДИ (внутриведомственная передача неиспользуемого имущества) на сумму 16 390,0 руб. 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Учредителю направлено извещение.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По строке 520 отражены резервы предстоящи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расходов в сумме 876 721,29 руб. Это резерв на предстоящую оплату отпусков. Резерв сформирован в соответствии с действующей учетной политикой.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Справке (ф.0503730) прилагаемой к Балансу отражено имущество, учитываемое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забалансовых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счетах:</w:t>
      </w:r>
    </w:p>
    <w:p w:rsidR="00762109" w:rsidRDefault="00000EDB">
      <w:pPr>
        <w:spacing w:before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счете 03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отражены бланки строгой отчетности в условной оценке 1 бланк = 1 руб.</w:t>
      </w:r>
    </w:p>
    <w:p w:rsidR="00762109" w:rsidRDefault="00000EDB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разделе 4 формы 0503723 (гр.7) отражены расходы по 112 КВР, КОСГУ 223 в сумме 120,0 руб. Это компенсация затрат работнику, переведенному на дистанционную работу. С дистанционным работ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ником подписано дополнительное соглашение в соответствии с требованиями Главы 49.1 Трудового Кодекса РФ "Особенности регулирования труда дистанционных работников". На условиях дистанционной работы принят специалист по закупкам (0,5 ставки по штатному распи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санию, внешний совместитель). Взаимодействие дистанционных работников и работодателя осуществляется путем обмена электронными документами. </w:t>
      </w:r>
    </w:p>
    <w:p w:rsidR="00762109" w:rsidRDefault="00000EDB">
      <w:pPr>
        <w:spacing w:before="240" w:after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5. Прочие вопросы деятельности учреждения</w:t>
      </w:r>
    </w:p>
    <w:p w:rsidR="00762109" w:rsidRDefault="00000EDB">
      <w:pPr>
        <w:spacing w:before="240" w:after="2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Информация о проведении годовой инвентаризации и перечень форм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отчетности, не включенных в состав бухгалтерской отчетности учреждения ввиду отсутствия числовых значений показателей, отражены в таблице № 12 «Прочие вопросы деятельности учреждения».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Приложение:</w:t>
      </w:r>
    </w:p>
    <w:p w:rsidR="00762109" w:rsidRDefault="00000EDB">
      <w:pPr>
        <w:spacing w:before="240" w:after="240"/>
        <w:ind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Таблица № 4 «Сведения об основных положениях учетной пол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итики учреждения»;</w:t>
      </w:r>
    </w:p>
    <w:p w:rsidR="00762109" w:rsidRDefault="00000EDB">
      <w:pPr>
        <w:ind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Таблица № 7 «Сведения об организационной структуре учреждения»;</w:t>
      </w:r>
    </w:p>
    <w:p w:rsidR="00762109" w:rsidRDefault="00000EDB">
      <w:pPr>
        <w:ind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Таблица № 8 «Сведения о результатах деятельности учреждения»;</w:t>
      </w:r>
    </w:p>
    <w:p w:rsidR="00762109" w:rsidRPr="00417AD1" w:rsidRDefault="00000EDB" w:rsidP="00417AD1">
      <w:pPr>
        <w:spacing w:before="240" w:after="240"/>
        <w:ind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Таблица № 12 «Прочие </w:t>
      </w:r>
      <w:r w:rsidR="00417AD1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деятельности учреждения.</w:t>
      </w:r>
    </w:p>
    <w:p w:rsidR="00762109" w:rsidRDefault="00000EDB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420" w:type="dxa"/>
        <w:tblInd w:w="96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3"/>
        <w:gridCol w:w="4270"/>
        <w:gridCol w:w="349"/>
        <w:gridCol w:w="2324"/>
        <w:gridCol w:w="54"/>
      </w:tblGrid>
      <w:tr w:rsidR="00762109"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1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62109"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1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62109"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Руководитель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857500" cy="952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1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Цурпал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Евгений Александрович</w:t>
            </w:r>
          </w:p>
        </w:tc>
      </w:tr>
      <w:tr w:rsidR="00762109">
        <w:trPr>
          <w:trHeight w:val="248"/>
        </w:trPr>
        <w:tc>
          <w:tcPr>
            <w:tcW w:w="27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24"/>
              </w:rPr>
            </w:pP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  <w:tr w:rsidR="00762109">
        <w:trPr>
          <w:trHeight w:val="151"/>
        </w:trPr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9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62109">
        <w:trPr>
          <w:trHeight w:val="251"/>
        </w:trPr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Руководитель планово-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857500" cy="952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1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762109">
            <w:pPr>
              <w:rPr>
                <w:sz w:val="24"/>
              </w:rPr>
            </w:pPr>
          </w:p>
          <w:p w:rsidR="00417AD1" w:rsidRDefault="00417AD1">
            <w:pPr>
              <w:rPr>
                <w:sz w:val="24"/>
              </w:rPr>
            </w:pPr>
          </w:p>
          <w:p w:rsidR="00417AD1" w:rsidRDefault="00417AD1">
            <w:pPr>
              <w:rPr>
                <w:sz w:val="24"/>
              </w:rPr>
            </w:pPr>
          </w:p>
          <w:p w:rsidR="00417AD1" w:rsidRDefault="00417AD1">
            <w:pPr>
              <w:rPr>
                <w:sz w:val="24"/>
              </w:rPr>
            </w:pPr>
          </w:p>
          <w:p w:rsidR="00417AD1" w:rsidRPr="00417AD1" w:rsidRDefault="00417AD1">
            <w:pPr>
              <w:rPr>
                <w:sz w:val="16"/>
                <w:szCs w:val="16"/>
              </w:rPr>
            </w:pPr>
            <w:r w:rsidRPr="00417AD1">
              <w:rPr>
                <w:sz w:val="16"/>
                <w:szCs w:val="16"/>
              </w:rPr>
              <w:t>Мельник Елена Александровна</w:t>
            </w:r>
          </w:p>
        </w:tc>
      </w:tr>
      <w:tr w:rsidR="00762109">
        <w:trPr>
          <w:trHeight w:val="148"/>
        </w:trPr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экономической службы</w:t>
            </w: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  <w:tr w:rsidR="00762109">
        <w:trPr>
          <w:trHeight w:val="80"/>
        </w:trPr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69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762109">
            <w:pPr>
              <w:rPr>
                <w:sz w:val="8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62109">
        <w:trPr>
          <w:trHeight w:val="281"/>
        </w:trPr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Главный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417AD1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ED06BD4" wp14:editId="7CC596CD">
                  <wp:extent cx="2857500" cy="952500"/>
                  <wp:effectExtent l="0" t="0" r="0" b="0"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1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62109" w:rsidRDefault="00417AD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Мельник Елена Александровна</w:t>
            </w:r>
          </w:p>
        </w:tc>
      </w:tr>
      <w:tr w:rsidR="00762109">
        <w:trPr>
          <w:trHeight w:val="281"/>
        </w:trPr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бухгалтер</w:t>
            </w: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  <w:tr w:rsidR="00762109">
        <w:trPr>
          <w:trHeight w:val="281"/>
        </w:trPr>
        <w:tc>
          <w:tcPr>
            <w:tcW w:w="2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1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62109" w:rsidRDefault="00000ED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762109"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2109" w:rsidRDefault="00762109"/>
        </w:tc>
        <w:tc>
          <w:tcPr>
            <w:tcW w:w="38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2109" w:rsidRDefault="00762109"/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2109" w:rsidRDefault="00762109"/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2109" w:rsidRDefault="00762109"/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62109" w:rsidRDefault="00762109"/>
        </w:tc>
      </w:tr>
    </w:tbl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62109" w:rsidRDefault="00000ED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 </w:t>
      </w:r>
    </w:p>
    <w:p w:rsidR="00762109" w:rsidRDefault="00000EDB">
      <w:r>
        <w:rPr>
          <w:rFonts w:ascii="Times New Roman" w:eastAsia="Times New Roman" w:hAnsi="Times New Roman" w:cs="Times New Roman"/>
          <w:sz w:val="16"/>
          <w:szCs w:val="16"/>
        </w:rPr>
        <w:t>Документ подписан электронной подписью. Дата представления 23.01.2026</w:t>
      </w:r>
      <w:r>
        <w:rPr>
          <w:rFonts w:ascii="Times New Roman" w:eastAsia="Times New Roman" w:hAnsi="Times New Roman" w:cs="Times New Roman"/>
          <w:sz w:val="16"/>
          <w:szCs w:val="16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Руководитель финансово-экономической 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службы(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Мельник Елена Александровна, Сертификат: 5E3ADD7A48700FFA9921765CEFF4094D, Действителен: с 09.04.2025 по 03.07.2026),Главный бухгалтер(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Цурпал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Евгений Александрович, Сертификат: 008C842873E8EEBCE2FC15E22F6611DD6A,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Действителен: с 05.12.2025 по 28.02.2027),Руководитель(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Цурпал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Евгений Александрович, Сертификат: 008C842873E8EEBCE2FC15E22F6611DD6A, Действителен: с 05.12.2025 по 28.02.2027) </w:t>
      </w:r>
    </w:p>
    <w:sectPr w:rsidR="00762109" w:rsidSect="00417AD1">
      <w:pgSz w:w="12240" w:h="15840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compressPunctuation"/>
  <w:compat>
    <w:useFELayout/>
    <w:compatSetting w:name="compatibilityMode" w:uri="http://schemas.microsoft.com/office/word" w:val="12"/>
  </w:compat>
  <w:rsids>
    <w:rsidRoot w:val="00762109"/>
    <w:rsid w:val="00000EDB"/>
    <w:rsid w:val="00417AD1"/>
    <w:rsid w:val="0076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undOvr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F89B5-6F53-482B-AC2C-5E25FF56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consultantplus://offline/ref=781FE9CB498BCE7777B3EBBFD63CAD7C95FE986CFDAF30BBC30B02039DA5038E5D098FDD5E540A26ED7E7A9DDCuEqCC" TargetMode="External"/><Relationship Id="rId4" Type="http://schemas.openxmlformats.org/officeDocument/2006/relationships/hyperlink" Target="consultantplus://offline/ref=781FE9CB498BCE7777B3EBBFD63CAD7C95FC9967FCAA30BBC30B02039DA5038E5D098FDD5E540A26ED7E7A9DDCuEqC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EAADF"/>
      </a:accent1>
      <a:accent2>
        <a:srgbClr val="EA726F"/>
      </a:accent2>
      <a:accent3>
        <a:srgbClr val="A9D774"/>
      </a:accent3>
      <a:accent4>
        <a:srgbClr val="A78BC9"/>
      </a:accent4>
      <a:accent5>
        <a:srgbClr val="78CBE1"/>
      </a:accent5>
      <a:accent6>
        <a:srgbClr val="FCBF8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3122</Words>
  <Characters>17799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 Мельник</cp:lastModifiedBy>
  <cp:revision>2</cp:revision>
  <dcterms:created xsi:type="dcterms:W3CDTF">2026-03-31T04:54:00Z</dcterms:created>
  <dcterms:modified xsi:type="dcterms:W3CDTF">2026-03-31T05:11:00Z</dcterms:modified>
</cp:coreProperties>
</file>